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E645A" w14:textId="2C4C48B0" w:rsidR="009B0E17" w:rsidRDefault="008B4C95" w:rsidP="00FC0F9E">
      <w:pPr>
        <w:spacing w:after="0"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17BE">
        <w:t xml:space="preserve">   </w:t>
      </w:r>
      <w:r>
        <w:t>Załącznik do uchwały Nr 1</w:t>
      </w:r>
      <w:r w:rsidR="007936D1">
        <w:t>9</w:t>
      </w:r>
      <w:r>
        <w:t xml:space="preserve">/2022 </w:t>
      </w:r>
    </w:p>
    <w:p w14:paraId="70D82B32" w14:textId="5B35816E" w:rsidR="00FC0F9E" w:rsidRDefault="00FC0F9E" w:rsidP="00FC0F9E">
      <w:pPr>
        <w:spacing w:after="0"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B17BE">
        <w:t xml:space="preserve">       </w:t>
      </w:r>
      <w:r>
        <w:t xml:space="preserve">RN </w:t>
      </w:r>
      <w:proofErr w:type="spellStart"/>
      <w:r>
        <w:t>LPKiW</w:t>
      </w:r>
      <w:proofErr w:type="spellEnd"/>
      <w:r>
        <w:t xml:space="preserve"> </w:t>
      </w:r>
      <w:r w:rsidR="004B17BE">
        <w:t>„</w:t>
      </w:r>
      <w:proofErr w:type="spellStart"/>
      <w:r w:rsidR="004B17BE">
        <w:t>Myślęcinek</w:t>
      </w:r>
      <w:proofErr w:type="spellEnd"/>
      <w:r w:rsidR="004B17BE">
        <w:t xml:space="preserve">” </w:t>
      </w:r>
      <w:r>
        <w:t>sp. z o.o. z 2</w:t>
      </w:r>
      <w:r w:rsidR="009E6EBC">
        <w:t>8</w:t>
      </w:r>
      <w:r>
        <w:t>.</w:t>
      </w:r>
      <w:r w:rsidR="009E6EBC">
        <w:t>10</w:t>
      </w:r>
      <w:r>
        <w:t>.2022 r.</w:t>
      </w:r>
    </w:p>
    <w:p w14:paraId="1E1BDAFA" w14:textId="2DAC6B22" w:rsidR="008B4C95" w:rsidRDefault="008B4C95"/>
    <w:p w14:paraId="4A96C7AD" w14:textId="075911A7" w:rsidR="008B4C95" w:rsidRDefault="008B4C95">
      <w:pPr>
        <w:rPr>
          <w:rFonts w:eastAsia="Times New Roman" w:cs="Times New Roman"/>
          <w:b/>
          <w:bCs/>
          <w:sz w:val="24"/>
          <w:szCs w:val="24"/>
        </w:rPr>
      </w:pPr>
      <w:r w:rsidRPr="008B4C95">
        <w:rPr>
          <w:b/>
          <w:bCs/>
          <w:sz w:val="24"/>
          <w:szCs w:val="24"/>
        </w:rPr>
        <w:t>KWARTALN</w:t>
      </w:r>
      <w:r w:rsidR="00981A45">
        <w:rPr>
          <w:b/>
          <w:bCs/>
          <w:sz w:val="24"/>
          <w:szCs w:val="24"/>
        </w:rPr>
        <w:t>A</w:t>
      </w:r>
      <w:r w:rsidRPr="008B4C95">
        <w:rPr>
          <w:b/>
          <w:bCs/>
          <w:sz w:val="24"/>
          <w:szCs w:val="24"/>
        </w:rPr>
        <w:t xml:space="preserve"> INFORMACJ</w:t>
      </w:r>
      <w:r w:rsidR="00981A45">
        <w:rPr>
          <w:b/>
          <w:bCs/>
          <w:sz w:val="24"/>
          <w:szCs w:val="24"/>
        </w:rPr>
        <w:t xml:space="preserve">A </w:t>
      </w:r>
      <w:r w:rsidRPr="008B4C95">
        <w:rPr>
          <w:b/>
          <w:bCs/>
          <w:sz w:val="24"/>
          <w:szCs w:val="24"/>
        </w:rPr>
        <w:t xml:space="preserve">Z DZIAŁALNOŚCI RADY NADZORCZEJ </w:t>
      </w:r>
      <w:r w:rsidRPr="008B4C95">
        <w:rPr>
          <w:rFonts w:eastAsia="Times New Roman" w:cs="Times New Roman"/>
          <w:b/>
          <w:bCs/>
          <w:sz w:val="24"/>
          <w:szCs w:val="24"/>
        </w:rPr>
        <w:t>LEŚNEGO PARKU KULTURY I WYPOCZYNKU „MYŚLĘCINEK” SPÓŁKA Z O. O.  Z SIEDZIBĄ W BYDGOSZCZY W OKRESIE O</w:t>
      </w:r>
      <w:r w:rsidR="00337A69">
        <w:rPr>
          <w:rFonts w:eastAsia="Times New Roman" w:cs="Times New Roman"/>
          <w:b/>
          <w:bCs/>
          <w:sz w:val="24"/>
          <w:szCs w:val="24"/>
        </w:rPr>
        <w:t xml:space="preserve">D </w:t>
      </w:r>
      <w:r w:rsidRPr="008B4C95">
        <w:rPr>
          <w:rFonts w:eastAsia="Times New Roman" w:cs="Times New Roman"/>
          <w:b/>
          <w:bCs/>
          <w:sz w:val="24"/>
          <w:szCs w:val="24"/>
        </w:rPr>
        <w:t xml:space="preserve"> 1 </w:t>
      </w:r>
      <w:r w:rsidR="007936D1">
        <w:rPr>
          <w:rFonts w:eastAsia="Times New Roman" w:cs="Times New Roman"/>
          <w:b/>
          <w:bCs/>
          <w:sz w:val="24"/>
          <w:szCs w:val="24"/>
        </w:rPr>
        <w:t>LIPCA DO 30 WRZEŚNIA</w:t>
      </w:r>
      <w:r w:rsidRPr="008B4C95">
        <w:rPr>
          <w:rFonts w:eastAsia="Times New Roman" w:cs="Times New Roman"/>
          <w:b/>
          <w:bCs/>
          <w:sz w:val="24"/>
          <w:szCs w:val="24"/>
        </w:rPr>
        <w:t xml:space="preserve"> 2022</w:t>
      </w:r>
      <w:r>
        <w:rPr>
          <w:rFonts w:eastAsia="Times New Roman" w:cs="Times New Roman"/>
          <w:b/>
          <w:bCs/>
          <w:sz w:val="24"/>
          <w:szCs w:val="24"/>
        </w:rPr>
        <w:t xml:space="preserve"> r.</w:t>
      </w:r>
    </w:p>
    <w:p w14:paraId="6DD1EA4B" w14:textId="29FFC912" w:rsidR="008B4C95" w:rsidRDefault="008B4C95" w:rsidP="008B4C95">
      <w:pPr>
        <w:rPr>
          <w:b/>
          <w:bCs/>
        </w:rPr>
      </w:pPr>
      <w:r>
        <w:rPr>
          <w:b/>
          <w:bCs/>
        </w:rPr>
        <w:t>1.Rada Nadzorcza: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8B4C95" w14:paraId="3A2CD199" w14:textId="77777777" w:rsidTr="008B4C95">
        <w:tc>
          <w:tcPr>
            <w:tcW w:w="2265" w:type="dxa"/>
          </w:tcPr>
          <w:p w14:paraId="1F92E49C" w14:textId="59FAC4B8" w:rsidR="008B4C95" w:rsidRDefault="008B4C95" w:rsidP="008B4C95">
            <w:pPr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2265" w:type="dxa"/>
          </w:tcPr>
          <w:p w14:paraId="615904B2" w14:textId="0A66FFE8" w:rsidR="008B4C95" w:rsidRDefault="008B4C95" w:rsidP="008B4C95">
            <w:pPr>
              <w:rPr>
                <w:b/>
                <w:bCs/>
              </w:rPr>
            </w:pPr>
            <w:r>
              <w:rPr>
                <w:b/>
                <w:bCs/>
              </w:rPr>
              <w:t>Funkcja</w:t>
            </w:r>
          </w:p>
        </w:tc>
        <w:tc>
          <w:tcPr>
            <w:tcW w:w="2266" w:type="dxa"/>
          </w:tcPr>
          <w:p w14:paraId="2F15FA34" w14:textId="22A64328" w:rsidR="008B4C95" w:rsidRDefault="008B4C95" w:rsidP="008B4C95">
            <w:pPr>
              <w:rPr>
                <w:b/>
                <w:bCs/>
              </w:rPr>
            </w:pPr>
            <w:r>
              <w:rPr>
                <w:b/>
                <w:bCs/>
              </w:rPr>
              <w:t>Data Powołania</w:t>
            </w:r>
          </w:p>
        </w:tc>
        <w:tc>
          <w:tcPr>
            <w:tcW w:w="2266" w:type="dxa"/>
          </w:tcPr>
          <w:p w14:paraId="792C790D" w14:textId="7B904044" w:rsidR="008B4C95" w:rsidRDefault="008B4C95" w:rsidP="008B4C95">
            <w:pPr>
              <w:rPr>
                <w:b/>
                <w:bCs/>
              </w:rPr>
            </w:pPr>
            <w:r>
              <w:rPr>
                <w:b/>
                <w:bCs/>
              </w:rPr>
              <w:t>Data Odwołania</w:t>
            </w:r>
          </w:p>
        </w:tc>
      </w:tr>
      <w:tr w:rsidR="008B4C95" w14:paraId="42F08C89" w14:textId="77777777" w:rsidTr="008B4C95">
        <w:tc>
          <w:tcPr>
            <w:tcW w:w="2265" w:type="dxa"/>
          </w:tcPr>
          <w:p w14:paraId="6471A762" w14:textId="40BBCD07" w:rsidR="008B4C95" w:rsidRPr="004B6B73" w:rsidRDefault="008B4C95" w:rsidP="008B4C95">
            <w:pPr>
              <w:rPr>
                <w:bCs/>
              </w:rPr>
            </w:pPr>
            <w:r w:rsidRPr="004B6B73">
              <w:rPr>
                <w:bCs/>
              </w:rPr>
              <w:t>1.</w:t>
            </w:r>
            <w:r w:rsidR="00450DA7">
              <w:rPr>
                <w:bCs/>
              </w:rPr>
              <w:t>Michał Polak</w:t>
            </w:r>
          </w:p>
        </w:tc>
        <w:tc>
          <w:tcPr>
            <w:tcW w:w="2265" w:type="dxa"/>
          </w:tcPr>
          <w:p w14:paraId="772F3B68" w14:textId="7F79F150" w:rsidR="008B4C95" w:rsidRPr="004B6B73" w:rsidRDefault="008B4C95" w:rsidP="008B4C95">
            <w:pPr>
              <w:rPr>
                <w:bCs/>
              </w:rPr>
            </w:pPr>
            <w:r w:rsidRPr="004B6B73">
              <w:rPr>
                <w:bCs/>
              </w:rPr>
              <w:t>Przewodniczący RN</w:t>
            </w:r>
          </w:p>
        </w:tc>
        <w:tc>
          <w:tcPr>
            <w:tcW w:w="2266" w:type="dxa"/>
          </w:tcPr>
          <w:p w14:paraId="6A06F8B1" w14:textId="259F86DA" w:rsidR="008B4C95" w:rsidRPr="004B6B73" w:rsidRDefault="00450DA7" w:rsidP="008B4C95">
            <w:pPr>
              <w:rPr>
                <w:bCs/>
              </w:rPr>
            </w:pPr>
            <w:r>
              <w:rPr>
                <w:bCs/>
              </w:rPr>
              <w:t>16 maja</w:t>
            </w:r>
            <w:r w:rsidR="006A3C8B" w:rsidRPr="004B6B73">
              <w:rPr>
                <w:bCs/>
              </w:rPr>
              <w:t xml:space="preserve"> 20</w:t>
            </w:r>
            <w:r>
              <w:rPr>
                <w:bCs/>
              </w:rPr>
              <w:t>22</w:t>
            </w:r>
            <w:r w:rsidR="006A3C8B" w:rsidRPr="004B6B73">
              <w:rPr>
                <w:bCs/>
              </w:rPr>
              <w:t xml:space="preserve"> r.</w:t>
            </w:r>
            <w:r>
              <w:rPr>
                <w:bCs/>
              </w:rPr>
              <w:t>, od 20 września 2022 r. na kadencję 2022-2025</w:t>
            </w:r>
          </w:p>
        </w:tc>
        <w:tc>
          <w:tcPr>
            <w:tcW w:w="2266" w:type="dxa"/>
          </w:tcPr>
          <w:p w14:paraId="287F9E81" w14:textId="57E28BB7" w:rsidR="008B4C95" w:rsidRPr="004B6B73" w:rsidRDefault="009E6EBC" w:rsidP="008B4C95">
            <w:pPr>
              <w:rPr>
                <w:bCs/>
              </w:rPr>
            </w:pPr>
            <w:r>
              <w:rPr>
                <w:bCs/>
              </w:rPr>
              <w:t>-----------------------------------------------------------------------------------------</w:t>
            </w:r>
          </w:p>
        </w:tc>
      </w:tr>
      <w:tr w:rsidR="008B4C95" w14:paraId="761752D7" w14:textId="77777777" w:rsidTr="008B4C95">
        <w:tc>
          <w:tcPr>
            <w:tcW w:w="2265" w:type="dxa"/>
          </w:tcPr>
          <w:p w14:paraId="214C3D29" w14:textId="63B6F4DB" w:rsidR="008B4C95" w:rsidRPr="004B6B73" w:rsidRDefault="008B4C95" w:rsidP="008B4C95">
            <w:pPr>
              <w:rPr>
                <w:bCs/>
              </w:rPr>
            </w:pPr>
            <w:r w:rsidRPr="004B6B73">
              <w:rPr>
                <w:bCs/>
              </w:rPr>
              <w:t>2</w:t>
            </w:r>
            <w:r w:rsidR="006A3C8B" w:rsidRPr="004B6B73">
              <w:rPr>
                <w:bCs/>
              </w:rPr>
              <w:t>.Benedykt Kowalewski</w:t>
            </w:r>
          </w:p>
        </w:tc>
        <w:tc>
          <w:tcPr>
            <w:tcW w:w="2265" w:type="dxa"/>
          </w:tcPr>
          <w:p w14:paraId="04D31C20" w14:textId="4F3404AE" w:rsidR="008B4C95" w:rsidRPr="004B6B73" w:rsidRDefault="006A3C8B" w:rsidP="008B4C95">
            <w:pPr>
              <w:rPr>
                <w:bCs/>
              </w:rPr>
            </w:pPr>
            <w:r w:rsidRPr="004B6B73">
              <w:rPr>
                <w:bCs/>
              </w:rPr>
              <w:t>Zastępca Przewodniczącego RN</w:t>
            </w:r>
          </w:p>
        </w:tc>
        <w:tc>
          <w:tcPr>
            <w:tcW w:w="2266" w:type="dxa"/>
          </w:tcPr>
          <w:p w14:paraId="31EA9D04" w14:textId="4CD4953F" w:rsidR="008B4C95" w:rsidRPr="004B6B73" w:rsidRDefault="006A3C8B" w:rsidP="008B4C95">
            <w:pPr>
              <w:rPr>
                <w:bCs/>
              </w:rPr>
            </w:pPr>
            <w:r w:rsidRPr="004B6B73">
              <w:rPr>
                <w:bCs/>
              </w:rPr>
              <w:t>25 czerwca 2019 r.</w:t>
            </w:r>
            <w:r w:rsidR="00450DA7">
              <w:rPr>
                <w:bCs/>
              </w:rPr>
              <w:t xml:space="preserve">, </w:t>
            </w:r>
            <w:r w:rsidR="00450DA7">
              <w:rPr>
                <w:bCs/>
              </w:rPr>
              <w:t>od 20 września 2022 r. na kadencję 2022-2025</w:t>
            </w:r>
          </w:p>
        </w:tc>
        <w:tc>
          <w:tcPr>
            <w:tcW w:w="2266" w:type="dxa"/>
          </w:tcPr>
          <w:p w14:paraId="10966E6F" w14:textId="1870AAF3" w:rsidR="008B4C95" w:rsidRPr="004B6B73" w:rsidRDefault="009E6EBC" w:rsidP="008B4C95">
            <w:pPr>
              <w:rPr>
                <w:bCs/>
              </w:rPr>
            </w:pPr>
            <w:r>
              <w:rPr>
                <w:bCs/>
              </w:rPr>
              <w:t>------------------------------------------------------------------------------------------</w:t>
            </w:r>
          </w:p>
        </w:tc>
      </w:tr>
      <w:tr w:rsidR="008B4C95" w14:paraId="62C0A8E2" w14:textId="77777777" w:rsidTr="008B4C95">
        <w:tc>
          <w:tcPr>
            <w:tcW w:w="2265" w:type="dxa"/>
          </w:tcPr>
          <w:p w14:paraId="77D1FCFC" w14:textId="534B2E4D" w:rsidR="008B4C95" w:rsidRPr="004B6B73" w:rsidRDefault="006A3C8B" w:rsidP="008B4C95">
            <w:pPr>
              <w:rPr>
                <w:bCs/>
              </w:rPr>
            </w:pPr>
            <w:r w:rsidRPr="004B6B73">
              <w:rPr>
                <w:bCs/>
              </w:rPr>
              <w:t>3.</w:t>
            </w:r>
            <w:r w:rsidRPr="004B6B73">
              <w:t xml:space="preserve"> </w:t>
            </w:r>
            <w:r w:rsidRPr="004B6B73">
              <w:rPr>
                <w:bCs/>
              </w:rPr>
              <w:t>Katarzyna Prugar</w:t>
            </w:r>
          </w:p>
        </w:tc>
        <w:tc>
          <w:tcPr>
            <w:tcW w:w="2265" w:type="dxa"/>
          </w:tcPr>
          <w:p w14:paraId="4DE34B8D" w14:textId="489E9BC5" w:rsidR="008B4C95" w:rsidRPr="004B6B73" w:rsidRDefault="006A3C8B" w:rsidP="008B4C95">
            <w:pPr>
              <w:rPr>
                <w:bCs/>
              </w:rPr>
            </w:pPr>
            <w:r w:rsidRPr="004B6B73">
              <w:rPr>
                <w:bCs/>
              </w:rPr>
              <w:t>Sekretarz RN</w:t>
            </w:r>
          </w:p>
        </w:tc>
        <w:tc>
          <w:tcPr>
            <w:tcW w:w="2266" w:type="dxa"/>
          </w:tcPr>
          <w:p w14:paraId="23D651BE" w14:textId="2E37283F" w:rsidR="008B4C95" w:rsidRPr="004B6B73" w:rsidRDefault="006A3C8B" w:rsidP="008B4C95">
            <w:pPr>
              <w:rPr>
                <w:bCs/>
              </w:rPr>
            </w:pPr>
            <w:r w:rsidRPr="004B6B73">
              <w:rPr>
                <w:bCs/>
              </w:rPr>
              <w:t>25 czerwca 2019 r.</w:t>
            </w:r>
            <w:r w:rsidR="00450DA7">
              <w:rPr>
                <w:bCs/>
              </w:rPr>
              <w:t xml:space="preserve">, </w:t>
            </w:r>
            <w:r w:rsidR="00450DA7">
              <w:rPr>
                <w:bCs/>
              </w:rPr>
              <w:t>od 20 września 2022 r. na kadencję 2022-2025</w:t>
            </w:r>
          </w:p>
        </w:tc>
        <w:tc>
          <w:tcPr>
            <w:tcW w:w="2266" w:type="dxa"/>
          </w:tcPr>
          <w:p w14:paraId="700AA09D" w14:textId="0964B995" w:rsidR="008B4C95" w:rsidRPr="004B6B73" w:rsidRDefault="009E6EBC" w:rsidP="008B4C95">
            <w:pPr>
              <w:rPr>
                <w:bCs/>
              </w:rPr>
            </w:pPr>
            <w:r>
              <w:rPr>
                <w:bCs/>
              </w:rPr>
              <w:t>------------------------------------------------------------------------------------------</w:t>
            </w:r>
          </w:p>
        </w:tc>
      </w:tr>
      <w:tr w:rsidR="006A3C8B" w14:paraId="529F4419" w14:textId="77777777" w:rsidTr="008B4C95">
        <w:tc>
          <w:tcPr>
            <w:tcW w:w="2265" w:type="dxa"/>
          </w:tcPr>
          <w:p w14:paraId="40703320" w14:textId="168CC0D5" w:rsidR="006A3C8B" w:rsidRPr="004B6B73" w:rsidRDefault="006A3C8B" w:rsidP="008B4C95">
            <w:pPr>
              <w:rPr>
                <w:bCs/>
              </w:rPr>
            </w:pPr>
            <w:r w:rsidRPr="004B6B73">
              <w:rPr>
                <w:bCs/>
              </w:rPr>
              <w:t>4.</w:t>
            </w:r>
            <w:r w:rsidRPr="004B6B73">
              <w:t xml:space="preserve"> </w:t>
            </w:r>
            <w:r w:rsidRPr="004B6B73">
              <w:rPr>
                <w:bCs/>
              </w:rPr>
              <w:t xml:space="preserve">Małgorzata </w:t>
            </w:r>
            <w:proofErr w:type="spellStart"/>
            <w:r w:rsidRPr="004B6B73">
              <w:rPr>
                <w:bCs/>
              </w:rPr>
              <w:t>Reszkowska</w:t>
            </w:r>
            <w:proofErr w:type="spellEnd"/>
          </w:p>
        </w:tc>
        <w:tc>
          <w:tcPr>
            <w:tcW w:w="2265" w:type="dxa"/>
          </w:tcPr>
          <w:p w14:paraId="2B661B88" w14:textId="725123E2" w:rsidR="006A3C8B" w:rsidRPr="004B6B73" w:rsidRDefault="006A3C8B" w:rsidP="008B4C95">
            <w:pPr>
              <w:rPr>
                <w:bCs/>
              </w:rPr>
            </w:pPr>
            <w:r w:rsidRPr="004B6B73">
              <w:rPr>
                <w:bCs/>
              </w:rPr>
              <w:t>Członek RN</w:t>
            </w:r>
          </w:p>
        </w:tc>
        <w:tc>
          <w:tcPr>
            <w:tcW w:w="2266" w:type="dxa"/>
          </w:tcPr>
          <w:p w14:paraId="073B0022" w14:textId="510CF381" w:rsidR="006A3C8B" w:rsidRPr="004B6B73" w:rsidRDefault="006A3C8B" w:rsidP="008B4C95">
            <w:pPr>
              <w:rPr>
                <w:bCs/>
              </w:rPr>
            </w:pPr>
            <w:r w:rsidRPr="004B6B73">
              <w:rPr>
                <w:bCs/>
              </w:rPr>
              <w:t>25 czerwca 2019 r.</w:t>
            </w:r>
            <w:r w:rsidR="00450DA7">
              <w:rPr>
                <w:bCs/>
              </w:rPr>
              <w:t xml:space="preserve">, </w:t>
            </w:r>
            <w:r w:rsidR="00450DA7">
              <w:rPr>
                <w:bCs/>
              </w:rPr>
              <w:t>od 20 września 2022 r. na kadencję 2022-2025</w:t>
            </w:r>
          </w:p>
        </w:tc>
        <w:tc>
          <w:tcPr>
            <w:tcW w:w="2266" w:type="dxa"/>
          </w:tcPr>
          <w:p w14:paraId="7D80D604" w14:textId="78304C7D" w:rsidR="006A3C8B" w:rsidRPr="004B6B73" w:rsidRDefault="009E6EBC" w:rsidP="008B4C95">
            <w:pPr>
              <w:rPr>
                <w:bCs/>
              </w:rPr>
            </w:pPr>
            <w:r>
              <w:rPr>
                <w:bCs/>
              </w:rPr>
              <w:t>------------------------------------------------------------------------------------------</w:t>
            </w:r>
          </w:p>
        </w:tc>
      </w:tr>
    </w:tbl>
    <w:p w14:paraId="54D18623" w14:textId="6121C202" w:rsidR="008B4C95" w:rsidRDefault="008B4C95" w:rsidP="008B4C95">
      <w:pPr>
        <w:rPr>
          <w:b/>
          <w:bCs/>
        </w:rPr>
      </w:pPr>
    </w:p>
    <w:p w14:paraId="671CB5D8" w14:textId="1518DDD1" w:rsidR="008B4C95" w:rsidRDefault="008B4C95" w:rsidP="008B4C95">
      <w:pPr>
        <w:rPr>
          <w:b/>
          <w:bCs/>
        </w:rPr>
      </w:pPr>
      <w:r>
        <w:rPr>
          <w:b/>
          <w:bCs/>
        </w:rPr>
        <w:t>2.Posiedzenia Rady Nadzorczej</w:t>
      </w:r>
      <w:r w:rsidR="0059585E">
        <w:rPr>
          <w:b/>
          <w:bCs/>
        </w:rPr>
        <w:t xml:space="preserve">  - obecność członków Rady Nadzorczej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3"/>
        <w:gridCol w:w="1813"/>
      </w:tblGrid>
      <w:tr w:rsidR="008B4C95" w:rsidRPr="004B6B73" w14:paraId="46A80710" w14:textId="77777777" w:rsidTr="008B4C95">
        <w:tc>
          <w:tcPr>
            <w:tcW w:w="1812" w:type="dxa"/>
          </w:tcPr>
          <w:p w14:paraId="7E673346" w14:textId="775E73E1" w:rsidR="008B4C95" w:rsidRPr="004B6B73" w:rsidRDefault="004B6B73" w:rsidP="008B4C95">
            <w:pPr>
              <w:rPr>
                <w:bCs/>
                <w:sz w:val="20"/>
                <w:szCs w:val="20"/>
              </w:rPr>
            </w:pPr>
            <w:r w:rsidRPr="004B6B73">
              <w:rPr>
                <w:bCs/>
                <w:sz w:val="20"/>
                <w:szCs w:val="20"/>
              </w:rPr>
              <w:t>Data posiedzenia</w:t>
            </w:r>
          </w:p>
        </w:tc>
        <w:tc>
          <w:tcPr>
            <w:tcW w:w="1812" w:type="dxa"/>
          </w:tcPr>
          <w:p w14:paraId="58270CF3" w14:textId="7C8E9C8F" w:rsidR="008B4C95" w:rsidRPr="004B6B73" w:rsidRDefault="004B6B73" w:rsidP="008B4C95">
            <w:pPr>
              <w:rPr>
                <w:bCs/>
                <w:sz w:val="20"/>
                <w:szCs w:val="20"/>
              </w:rPr>
            </w:pPr>
            <w:r w:rsidRPr="004B6B73">
              <w:rPr>
                <w:bCs/>
                <w:sz w:val="20"/>
                <w:szCs w:val="20"/>
              </w:rPr>
              <w:t>Ilość obecnych członków</w:t>
            </w:r>
          </w:p>
        </w:tc>
        <w:tc>
          <w:tcPr>
            <w:tcW w:w="1812" w:type="dxa"/>
          </w:tcPr>
          <w:p w14:paraId="6D289E51" w14:textId="0008BA13" w:rsidR="008B4C95" w:rsidRPr="004B6B73" w:rsidRDefault="004B6B73" w:rsidP="008B4C95">
            <w:pPr>
              <w:rPr>
                <w:bCs/>
                <w:sz w:val="20"/>
                <w:szCs w:val="20"/>
              </w:rPr>
            </w:pPr>
            <w:r w:rsidRPr="004B6B73">
              <w:rPr>
                <w:bCs/>
                <w:sz w:val="20"/>
                <w:szCs w:val="20"/>
              </w:rPr>
              <w:t>Ilość nieobecnych członków</w:t>
            </w:r>
          </w:p>
        </w:tc>
        <w:tc>
          <w:tcPr>
            <w:tcW w:w="1813" w:type="dxa"/>
          </w:tcPr>
          <w:p w14:paraId="4A4E73AC" w14:textId="51FFE0C3" w:rsidR="008B4C95" w:rsidRPr="004B6B73" w:rsidRDefault="004B6B73" w:rsidP="008B4C95">
            <w:pPr>
              <w:rPr>
                <w:bCs/>
                <w:sz w:val="20"/>
                <w:szCs w:val="20"/>
              </w:rPr>
            </w:pPr>
            <w:r w:rsidRPr="004B6B73">
              <w:rPr>
                <w:bCs/>
                <w:sz w:val="20"/>
                <w:szCs w:val="20"/>
              </w:rPr>
              <w:t>Imiona i nazwiska osób nieobecnych na posiedzeniu</w:t>
            </w:r>
          </w:p>
        </w:tc>
        <w:tc>
          <w:tcPr>
            <w:tcW w:w="1813" w:type="dxa"/>
          </w:tcPr>
          <w:p w14:paraId="3EB87D34" w14:textId="1C7DAB18" w:rsidR="008B4C95" w:rsidRPr="004B6B73" w:rsidRDefault="004B6B73" w:rsidP="008B4C95">
            <w:pPr>
              <w:rPr>
                <w:bCs/>
                <w:sz w:val="20"/>
                <w:szCs w:val="20"/>
              </w:rPr>
            </w:pPr>
            <w:r w:rsidRPr="004B6B73">
              <w:rPr>
                <w:bCs/>
                <w:sz w:val="20"/>
                <w:szCs w:val="20"/>
              </w:rPr>
              <w:t>Czy RN usprawiedliwiła nieobecność</w:t>
            </w:r>
          </w:p>
        </w:tc>
      </w:tr>
      <w:tr w:rsidR="008B4C95" w:rsidRPr="004B6B73" w14:paraId="679DCB85" w14:textId="77777777" w:rsidTr="008B4C95">
        <w:tc>
          <w:tcPr>
            <w:tcW w:w="1812" w:type="dxa"/>
          </w:tcPr>
          <w:p w14:paraId="3723BC1E" w14:textId="6A349C96" w:rsidR="008B4C95" w:rsidRPr="004B6B73" w:rsidRDefault="004B6B73" w:rsidP="008B4C95">
            <w:pPr>
              <w:rPr>
                <w:bCs/>
              </w:rPr>
            </w:pPr>
            <w:r w:rsidRPr="004B6B73">
              <w:rPr>
                <w:bCs/>
              </w:rPr>
              <w:t>29.0</w:t>
            </w:r>
            <w:r w:rsidR="007936D1">
              <w:rPr>
                <w:bCs/>
              </w:rPr>
              <w:t>7</w:t>
            </w:r>
            <w:r w:rsidRPr="004B6B73">
              <w:rPr>
                <w:bCs/>
              </w:rPr>
              <w:t>.2022 r.</w:t>
            </w:r>
          </w:p>
        </w:tc>
        <w:tc>
          <w:tcPr>
            <w:tcW w:w="1812" w:type="dxa"/>
          </w:tcPr>
          <w:p w14:paraId="70F4936D" w14:textId="5756E6B8" w:rsidR="008B4C95" w:rsidRPr="004B6B73" w:rsidRDefault="007936D1" w:rsidP="008B4C95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12" w:type="dxa"/>
          </w:tcPr>
          <w:p w14:paraId="71C8B634" w14:textId="4D5CE374" w:rsidR="008B4C95" w:rsidRPr="004B6B73" w:rsidRDefault="007936D1" w:rsidP="008B4C95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3" w:type="dxa"/>
          </w:tcPr>
          <w:p w14:paraId="3C02E19A" w14:textId="357C9478" w:rsidR="008B4C95" w:rsidRPr="004B6B73" w:rsidRDefault="007936D1" w:rsidP="008B4C95">
            <w:pPr>
              <w:rPr>
                <w:bCs/>
              </w:rPr>
            </w:pPr>
            <w:r>
              <w:rPr>
                <w:bCs/>
              </w:rPr>
              <w:t>Benedykt Kowalewski</w:t>
            </w:r>
          </w:p>
        </w:tc>
        <w:tc>
          <w:tcPr>
            <w:tcW w:w="1813" w:type="dxa"/>
          </w:tcPr>
          <w:p w14:paraId="55959C66" w14:textId="0D6A6AE5" w:rsidR="008B4C95" w:rsidRPr="004B6B73" w:rsidRDefault="007936D1" w:rsidP="008B4C95">
            <w:pPr>
              <w:rPr>
                <w:bCs/>
              </w:rPr>
            </w:pPr>
            <w:r>
              <w:rPr>
                <w:bCs/>
              </w:rPr>
              <w:t>Tak</w:t>
            </w:r>
          </w:p>
        </w:tc>
      </w:tr>
      <w:tr w:rsidR="008B4C95" w:rsidRPr="004B6B73" w14:paraId="58A985A8" w14:textId="77777777" w:rsidTr="008B4C95">
        <w:tc>
          <w:tcPr>
            <w:tcW w:w="1812" w:type="dxa"/>
          </w:tcPr>
          <w:p w14:paraId="2B959EAF" w14:textId="0A458A00" w:rsidR="008B4C95" w:rsidRPr="004B6B73" w:rsidRDefault="007936D1" w:rsidP="008B4C95">
            <w:pPr>
              <w:rPr>
                <w:bCs/>
              </w:rPr>
            </w:pPr>
            <w:r>
              <w:rPr>
                <w:bCs/>
              </w:rPr>
              <w:t>02</w:t>
            </w:r>
            <w:r w:rsidR="004B6B73" w:rsidRPr="004B6B73">
              <w:rPr>
                <w:bCs/>
              </w:rPr>
              <w:t>.0</w:t>
            </w:r>
            <w:r>
              <w:rPr>
                <w:bCs/>
              </w:rPr>
              <w:t>9</w:t>
            </w:r>
            <w:r w:rsidR="004B6B73" w:rsidRPr="004B6B73">
              <w:rPr>
                <w:bCs/>
              </w:rPr>
              <w:t>.2022 r.</w:t>
            </w:r>
          </w:p>
        </w:tc>
        <w:tc>
          <w:tcPr>
            <w:tcW w:w="1812" w:type="dxa"/>
          </w:tcPr>
          <w:p w14:paraId="25F57299" w14:textId="2837168A" w:rsidR="008B4C95" w:rsidRPr="004B6B73" w:rsidRDefault="007936D1" w:rsidP="008B4C95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12" w:type="dxa"/>
          </w:tcPr>
          <w:p w14:paraId="543A14F3" w14:textId="174D65A0" w:rsidR="008B4C95" w:rsidRPr="004B6B73" w:rsidRDefault="007936D1" w:rsidP="008B4C95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13" w:type="dxa"/>
          </w:tcPr>
          <w:p w14:paraId="53427F0D" w14:textId="479969FA" w:rsidR="008B4C95" w:rsidRPr="004B6B73" w:rsidRDefault="007936D1" w:rsidP="008B4C95">
            <w:pPr>
              <w:rPr>
                <w:bCs/>
              </w:rPr>
            </w:pPr>
            <w:r>
              <w:rPr>
                <w:bCs/>
              </w:rPr>
              <w:t>Benedykt Kowalewski</w:t>
            </w:r>
          </w:p>
        </w:tc>
        <w:tc>
          <w:tcPr>
            <w:tcW w:w="1813" w:type="dxa"/>
          </w:tcPr>
          <w:p w14:paraId="3910E838" w14:textId="3E29F2A5" w:rsidR="008B4C95" w:rsidRPr="004B6B73" w:rsidRDefault="007936D1" w:rsidP="008B4C95">
            <w:pPr>
              <w:rPr>
                <w:bCs/>
              </w:rPr>
            </w:pPr>
            <w:r>
              <w:rPr>
                <w:bCs/>
              </w:rPr>
              <w:t>Tak</w:t>
            </w:r>
          </w:p>
        </w:tc>
      </w:tr>
    </w:tbl>
    <w:p w14:paraId="1F16700B" w14:textId="77777777" w:rsidR="008B4C95" w:rsidRPr="008B4C95" w:rsidRDefault="008B4C95" w:rsidP="008B4C95">
      <w:pPr>
        <w:rPr>
          <w:b/>
          <w:bCs/>
        </w:rPr>
      </w:pPr>
    </w:p>
    <w:p w14:paraId="488ED51B" w14:textId="449C625D" w:rsidR="008B4C95" w:rsidRPr="008B6790" w:rsidRDefault="004B6B73">
      <w:pPr>
        <w:rPr>
          <w:b/>
        </w:rPr>
      </w:pPr>
      <w:r w:rsidRPr="008B6790">
        <w:rPr>
          <w:b/>
        </w:rPr>
        <w:t>3.  Tematyka posiedzeń Rady Nadzorczej – istotne sprawy objęte porządkiem obrad</w:t>
      </w:r>
    </w:p>
    <w:p w14:paraId="390C82BC" w14:textId="15ABCAFC" w:rsidR="00C40DEC" w:rsidRPr="008B6790" w:rsidRDefault="00D36EAB" w:rsidP="004B6B73">
      <w:pPr>
        <w:jc w:val="both"/>
      </w:pPr>
      <w:r w:rsidRPr="008B6790">
        <w:t xml:space="preserve">             </w:t>
      </w:r>
      <w:r w:rsidR="004B6B73" w:rsidRPr="008B6790">
        <w:t xml:space="preserve">W okresie od 1 </w:t>
      </w:r>
      <w:r w:rsidR="00C40DEC" w:rsidRPr="008B6790">
        <w:t>lipca do 30 września</w:t>
      </w:r>
      <w:r w:rsidR="004B6B73" w:rsidRPr="008B6790">
        <w:t xml:space="preserve"> 2022 r. Rada Nadzorcza Leśnego Par</w:t>
      </w:r>
      <w:r w:rsidR="00D0160B" w:rsidRPr="008B6790">
        <w:t>ku Kultury i Wypoczynk</w:t>
      </w:r>
      <w:r w:rsidR="00C40DEC" w:rsidRPr="008B6790">
        <w:t>u „</w:t>
      </w:r>
      <w:proofErr w:type="spellStart"/>
      <w:r w:rsidR="00C40DEC" w:rsidRPr="008B6790">
        <w:t>Myślęcinek</w:t>
      </w:r>
      <w:proofErr w:type="spellEnd"/>
      <w:r w:rsidR="00C40DEC" w:rsidRPr="008B6790">
        <w:t xml:space="preserve">” </w:t>
      </w:r>
      <w:r w:rsidR="00D0160B" w:rsidRPr="008B6790">
        <w:t>sp. z o</w:t>
      </w:r>
      <w:r w:rsidR="004B6B73" w:rsidRPr="008B6790">
        <w:t>.o. zajmowała się bieżącą analiz</w:t>
      </w:r>
      <w:r w:rsidR="00981A45" w:rsidRPr="008B6790">
        <w:t>ą</w:t>
      </w:r>
      <w:r w:rsidR="004B6B73" w:rsidRPr="008B6790">
        <w:t xml:space="preserve"> sytuacji ekonomiczno-finansowej badając, w oparciu przedstawione informacje, poziom aktualnych wskaźników Spółki.</w:t>
      </w:r>
      <w:r w:rsidR="00D0160B" w:rsidRPr="008B6790">
        <w:t xml:space="preserve"> Zarząd Spółki przedstawiał Radzie Nadzorczej informacje o wyniku finansowym w każdym z miesięcy II</w:t>
      </w:r>
      <w:r w:rsidR="00C40DEC" w:rsidRPr="008B6790">
        <w:t xml:space="preserve">I </w:t>
      </w:r>
      <w:r w:rsidR="00D0160B" w:rsidRPr="008B6790">
        <w:t xml:space="preserve">kwartału 2022 r. Omawiano też sytuację Spółki i jej pracowników na tle </w:t>
      </w:r>
      <w:r w:rsidR="004B17BE">
        <w:t>aktualnej</w:t>
      </w:r>
      <w:r w:rsidR="00D0160B" w:rsidRPr="008B6790">
        <w:t xml:space="preserve"> sytuacji społeczno-gospodarczej, zwłaszcza w aspekcie </w:t>
      </w:r>
      <w:r w:rsidR="00C40DEC" w:rsidRPr="008B6790">
        <w:t>niestabilnej sytuacji</w:t>
      </w:r>
      <w:r w:rsidR="004B17BE">
        <w:t xml:space="preserve"> rynkowej</w:t>
      </w:r>
      <w:r w:rsidR="00C40DEC" w:rsidRPr="008B6790">
        <w:t xml:space="preserve"> oraz skokowo rosnących cen</w:t>
      </w:r>
      <w:r w:rsidR="009E6EBC">
        <w:t>, zwłaszcza</w:t>
      </w:r>
      <w:r w:rsidR="00C40DEC" w:rsidRPr="008B6790">
        <w:t xml:space="preserve"> energii elektrycznej. Mimo niekorzystnych zjawisk społecznych odnotowano, po stagnacji spowodowanej pandemią, zasadniczy wzrost zainteresowania ofertą Spółki, odzwierciedlony w wyniku sprzedaży wyższym zarówno od osiągniętego w analogicznym okresie roku poprzedniego, jak i przekraczający założony w planie. Jednocześnie rosnąca aktywność Spółki powodowała wzrost kosztów osobowych. </w:t>
      </w:r>
    </w:p>
    <w:p w14:paraId="78101A20" w14:textId="2425F1B2" w:rsidR="00D64690" w:rsidRPr="008B6790" w:rsidRDefault="00D64690" w:rsidP="004B6B73">
      <w:pPr>
        <w:jc w:val="both"/>
      </w:pPr>
      <w:r w:rsidRPr="008B6790">
        <w:tab/>
        <w:t xml:space="preserve">Rada Nadzorcza omówiła też niepowodzenie Spółki w organizowanym przez Miasto Bydgoszczy postępowaniu o udzielenie zamówienia publicznego na konserwowanie terenów zieleni miejskiej. W związku z tym wstępnie omawiano zagadnienie </w:t>
      </w:r>
      <w:r w:rsidRPr="008B6790">
        <w:rPr>
          <w:bCs/>
        </w:rPr>
        <w:t>możliwości prawnych powierzenia Spółce przez wspólnotę samorządową Miasta Bydgoszczy usługi utrzymania zieleni miejskiej na podstawie art. 214 ust. 1 pkt 11 ustawy z 11 września 2019 r. Prawo zamówień publicznych.</w:t>
      </w:r>
      <w:r w:rsidRPr="008B6790">
        <w:rPr>
          <w:bCs/>
        </w:rPr>
        <w:t xml:space="preserve"> Postanowiono poddać analizie pozyskaną w tym zakresie opinię</w:t>
      </w:r>
      <w:r w:rsidR="004B17BE">
        <w:rPr>
          <w:bCs/>
        </w:rPr>
        <w:t>,</w:t>
      </w:r>
      <w:r w:rsidRPr="008B6790">
        <w:rPr>
          <w:bCs/>
        </w:rPr>
        <w:t xml:space="preserve"> sporządzona przez zewnętrzną kancelarię prawną.</w:t>
      </w:r>
    </w:p>
    <w:p w14:paraId="159505C9" w14:textId="6C2CB471" w:rsidR="00C40DEC" w:rsidRPr="008B6790" w:rsidRDefault="00D64690" w:rsidP="004B6B73">
      <w:pPr>
        <w:jc w:val="both"/>
      </w:pPr>
      <w:r w:rsidRPr="008B6790">
        <w:tab/>
        <w:t>W toku posiedzeń Rady Nadzor</w:t>
      </w:r>
      <w:r w:rsidR="008B6790" w:rsidRPr="008B6790">
        <w:t xml:space="preserve">czej poruszono też zagadnienie instalacji paneli </w:t>
      </w:r>
      <w:proofErr w:type="spellStart"/>
      <w:r w:rsidR="008B6790" w:rsidRPr="008B6790">
        <w:t>fotowoltanicznych</w:t>
      </w:r>
      <w:proofErr w:type="spellEnd"/>
      <w:r w:rsidR="008B6790" w:rsidRPr="008B6790">
        <w:t xml:space="preserve"> jako inwestycji mogącej niwelować kilkukrotne wzrosty cen energii elektrycznej. Przyznano rację Zarządowi </w:t>
      </w:r>
      <w:r w:rsidR="004B17BE">
        <w:t>co do</w:t>
      </w:r>
      <w:r w:rsidR="008B6790" w:rsidRPr="008B6790">
        <w:t xml:space="preserve"> konieczność integralnej (kompleksowej) jej realizacji w obrębie całej Spółki dla osiągnięcia zamierzonego celu.  Analizowano także prawdopodobną perspektywę </w:t>
      </w:r>
      <w:r w:rsidR="009E6EBC">
        <w:lastRenderedPageBreak/>
        <w:t xml:space="preserve">kontynuowania działalności przez </w:t>
      </w:r>
      <w:r w:rsidR="008B6790" w:rsidRPr="008B6790">
        <w:t>dzierżawców obiektów będących we władaniu Spółki z uwagi na niespotykany dotąd wzrost kosztów prowadzenia działalności w branży hotelarskiej i gastronomicznej. Wskazano, że</w:t>
      </w:r>
      <w:r w:rsidR="009E6EBC">
        <w:t xml:space="preserve"> w razie ich rezygnacji,</w:t>
      </w:r>
      <w:r w:rsidR="008B6790" w:rsidRPr="008B6790">
        <w:t xml:space="preserve"> możliwej utracie dochodów </w:t>
      </w:r>
      <w:r w:rsidR="009E6EBC">
        <w:t xml:space="preserve">Spółki </w:t>
      </w:r>
      <w:r w:rsidR="008B6790" w:rsidRPr="008B6790">
        <w:t xml:space="preserve">towarzyszyć będzie równolegle konieczność przejęcia kosztów utrzymania obiektów, dotąd ponoszonego przez dzierżawców. Nakazuje to przyjęcie wobec </w:t>
      </w:r>
      <w:r w:rsidR="004B17BE">
        <w:t>dzierżawców</w:t>
      </w:r>
      <w:r w:rsidR="008B6790" w:rsidRPr="008B6790">
        <w:t xml:space="preserve"> postawy elastycznej, ukierunkowanej na minimalizacje strat </w:t>
      </w:r>
      <w:r w:rsidR="009E6EBC">
        <w:t>S</w:t>
      </w:r>
      <w:r w:rsidR="008B6790" w:rsidRPr="008B6790">
        <w:t>półki.</w:t>
      </w:r>
    </w:p>
    <w:p w14:paraId="1298C1FA" w14:textId="2E481FC3" w:rsidR="00D36EAB" w:rsidRPr="008B6790" w:rsidRDefault="00D36EAB" w:rsidP="00D36EAB">
      <w:pPr>
        <w:jc w:val="both"/>
        <w:rPr>
          <w:rFonts w:cstheme="minorHAnsi"/>
          <w:color w:val="000000"/>
        </w:rPr>
      </w:pPr>
      <w:r w:rsidRPr="008B6790">
        <w:t xml:space="preserve">      </w:t>
      </w:r>
      <w:r w:rsidR="00AA175E" w:rsidRPr="008B6790">
        <w:t xml:space="preserve">W </w:t>
      </w:r>
      <w:r w:rsidR="00AA175E" w:rsidRPr="008B6790">
        <w:rPr>
          <w:rFonts w:cstheme="minorHAnsi"/>
        </w:rPr>
        <w:t>okresie objętym sprawozdaniem podjęto uchwałę o przyjęciu kwartalnej informacji o działaniu Rady Nadzorczej w I</w:t>
      </w:r>
      <w:r w:rsidRPr="008B6790">
        <w:rPr>
          <w:rFonts w:cstheme="minorHAnsi"/>
        </w:rPr>
        <w:t>I</w:t>
      </w:r>
      <w:r w:rsidR="00AA175E" w:rsidRPr="008B6790">
        <w:rPr>
          <w:rFonts w:cstheme="minorHAnsi"/>
        </w:rPr>
        <w:t xml:space="preserve"> kwartale 2022 r. </w:t>
      </w:r>
      <w:r w:rsidRPr="008B6790">
        <w:rPr>
          <w:rFonts w:cstheme="minorHAnsi"/>
        </w:rPr>
        <w:t xml:space="preserve"> Ponadto, przed corocznym Zwyczajnym Zgromadzeniem Wspólników, podjęto  </w:t>
      </w:r>
      <w:r w:rsidRPr="008B6790">
        <w:rPr>
          <w:rFonts w:cstheme="minorHAnsi"/>
          <w:color w:val="000000"/>
        </w:rPr>
        <w:t xml:space="preserve">uchwałę </w:t>
      </w:r>
      <w:r w:rsidRPr="008B6790">
        <w:rPr>
          <w:rFonts w:cstheme="minorHAnsi"/>
          <w:color w:val="000000"/>
        </w:rPr>
        <w:t>opiniującą pozytywnie</w:t>
      </w:r>
      <w:r w:rsidRPr="008B6790">
        <w:rPr>
          <w:rFonts w:cstheme="minorHAnsi"/>
          <w:color w:val="000000"/>
        </w:rPr>
        <w:t xml:space="preserve"> sprawozda</w:t>
      </w:r>
      <w:r w:rsidRPr="008B6790">
        <w:rPr>
          <w:rFonts w:cstheme="minorHAnsi"/>
          <w:color w:val="000000"/>
        </w:rPr>
        <w:t>nie Zarządu oraz sprawozdanie finansowe</w:t>
      </w:r>
      <w:r w:rsidRPr="008B6790">
        <w:rPr>
          <w:rFonts w:cstheme="minorHAnsi"/>
          <w:color w:val="000000"/>
        </w:rPr>
        <w:t xml:space="preserve"> za 2021 rok, </w:t>
      </w:r>
      <w:r w:rsidRPr="008B6790">
        <w:rPr>
          <w:rFonts w:cstheme="minorHAnsi"/>
          <w:color w:val="000000"/>
        </w:rPr>
        <w:t xml:space="preserve">uchwałę aprobująca wniosek Zarządu w sprawie podziału zysku Spółki za 2021 r., uchwałę w przedmiocie pozytywnej oceny </w:t>
      </w:r>
      <w:r w:rsidRPr="008B6790">
        <w:rPr>
          <w:rFonts w:cstheme="minorHAnsi"/>
          <w:color w:val="000000"/>
        </w:rPr>
        <w:t>wniosku Zarządu o sprawie pokrycia straty bilansowej lat ubiegłych</w:t>
      </w:r>
      <w:r w:rsidRPr="008B6790">
        <w:rPr>
          <w:rFonts w:cstheme="minorHAnsi"/>
          <w:color w:val="000000"/>
        </w:rPr>
        <w:t xml:space="preserve">, </w:t>
      </w:r>
      <w:r w:rsidRPr="008B6790">
        <w:rPr>
          <w:rFonts w:cstheme="minorHAnsi"/>
          <w:color w:val="000000"/>
        </w:rPr>
        <w:t xml:space="preserve">uchwałę w sprawie wniosku o udzielenie absolutorium Prezesowi Zarządu Spółki za 2021 </w:t>
      </w:r>
      <w:r w:rsidRPr="008B6790">
        <w:rPr>
          <w:rFonts w:cstheme="minorHAnsi"/>
          <w:color w:val="000000"/>
        </w:rPr>
        <w:t>r.</w:t>
      </w:r>
      <w:r w:rsidR="009E6EBC">
        <w:rPr>
          <w:rFonts w:cstheme="minorHAnsi"/>
          <w:color w:val="000000"/>
        </w:rPr>
        <w:t xml:space="preserve"> oraz</w:t>
      </w:r>
      <w:r w:rsidRPr="008B6790">
        <w:rPr>
          <w:rFonts w:cstheme="minorHAnsi"/>
          <w:color w:val="000000"/>
        </w:rPr>
        <w:t xml:space="preserve"> u</w:t>
      </w:r>
      <w:r w:rsidRPr="008B6790">
        <w:rPr>
          <w:rFonts w:cstheme="minorHAnsi"/>
          <w:color w:val="000000"/>
        </w:rPr>
        <w:t>chwał</w:t>
      </w:r>
      <w:r w:rsidRPr="008B6790">
        <w:rPr>
          <w:rFonts w:cstheme="minorHAnsi"/>
          <w:color w:val="000000"/>
        </w:rPr>
        <w:t>ę</w:t>
      </w:r>
      <w:r w:rsidRPr="008B6790">
        <w:rPr>
          <w:rFonts w:cstheme="minorHAnsi"/>
          <w:color w:val="000000"/>
        </w:rPr>
        <w:t xml:space="preserve"> w sprawie sprawozdania z działalności Rady Nadzorczej </w:t>
      </w:r>
      <w:proofErr w:type="spellStart"/>
      <w:r w:rsidRPr="008B6790">
        <w:rPr>
          <w:rFonts w:cstheme="minorHAnsi"/>
          <w:color w:val="000000"/>
        </w:rPr>
        <w:t>LPKiW</w:t>
      </w:r>
      <w:proofErr w:type="spellEnd"/>
      <w:r w:rsidRPr="008B6790">
        <w:rPr>
          <w:rFonts w:cstheme="minorHAnsi"/>
          <w:color w:val="000000"/>
        </w:rPr>
        <w:t xml:space="preserve"> „</w:t>
      </w:r>
      <w:proofErr w:type="spellStart"/>
      <w:r w:rsidRPr="008B6790">
        <w:rPr>
          <w:rFonts w:cstheme="minorHAnsi"/>
          <w:color w:val="000000"/>
        </w:rPr>
        <w:t>Myślęcinek</w:t>
      </w:r>
      <w:proofErr w:type="spellEnd"/>
      <w:r w:rsidRPr="008B6790">
        <w:rPr>
          <w:rFonts w:cstheme="minorHAnsi"/>
          <w:color w:val="000000"/>
        </w:rPr>
        <w:t xml:space="preserve">” </w:t>
      </w:r>
      <w:r w:rsidR="004B17BE">
        <w:rPr>
          <w:rFonts w:cstheme="minorHAnsi"/>
          <w:color w:val="000000"/>
        </w:rPr>
        <w:t xml:space="preserve">sp. z o.o. </w:t>
      </w:r>
      <w:r w:rsidRPr="008B6790">
        <w:rPr>
          <w:rFonts w:cstheme="minorHAnsi"/>
          <w:color w:val="000000"/>
        </w:rPr>
        <w:t>za rok obrotowy 2021</w:t>
      </w:r>
      <w:r w:rsidR="00D64690" w:rsidRPr="008B6790">
        <w:rPr>
          <w:rFonts w:cstheme="minorHAnsi"/>
          <w:color w:val="000000"/>
        </w:rPr>
        <w:t xml:space="preserve"> r. </w:t>
      </w:r>
    </w:p>
    <w:p w14:paraId="725691F9" w14:textId="2DF019E1" w:rsidR="00D64690" w:rsidRPr="008B6790" w:rsidRDefault="00D64690" w:rsidP="00D36EAB">
      <w:pPr>
        <w:jc w:val="both"/>
        <w:rPr>
          <w:rFonts w:ascii="Arial" w:hAnsi="Arial" w:cs="Arial"/>
          <w:color w:val="000000"/>
        </w:rPr>
      </w:pPr>
      <w:r w:rsidRPr="008B6790">
        <w:rPr>
          <w:rFonts w:cstheme="minorHAnsi"/>
          <w:color w:val="000000"/>
        </w:rPr>
        <w:tab/>
        <w:t>Wszystkie podejmowane uchwały podjęto jednogłośnie.</w:t>
      </w:r>
    </w:p>
    <w:p w14:paraId="620677FD" w14:textId="0C3BA5E7" w:rsidR="00076671" w:rsidRDefault="00076671" w:rsidP="00AA175E">
      <w:pPr>
        <w:jc w:val="both"/>
      </w:pPr>
      <w:r>
        <w:t xml:space="preserve">4. </w:t>
      </w:r>
      <w:r w:rsidRPr="00076671">
        <w:rPr>
          <w:b/>
        </w:rPr>
        <w:t>Ocena sytuacji Spółki</w:t>
      </w:r>
      <w:r>
        <w:t xml:space="preserve"> (na koniec kwar</w:t>
      </w:r>
      <w:r w:rsidR="003154F8">
        <w:t>tału sprawozdawczego), w tym opi</w:t>
      </w:r>
      <w:r>
        <w:t>s zdolności do regulowania zadłużenia, spory z kontrahentami kary</w:t>
      </w:r>
    </w:p>
    <w:p w14:paraId="07E5A326" w14:textId="7D104E2B" w:rsidR="00452195" w:rsidRDefault="00452195" w:rsidP="003154F8">
      <w:pPr>
        <w:jc w:val="both"/>
      </w:pPr>
      <w:r>
        <w:t xml:space="preserve">        </w:t>
      </w:r>
      <w:r w:rsidR="003154F8">
        <w:t>Spółka w okresie II</w:t>
      </w:r>
      <w:r w:rsidR="00236EFF">
        <w:t>I</w:t>
      </w:r>
      <w:r w:rsidR="003154F8">
        <w:t xml:space="preserve"> kwartału 2022 r. wypracowała zysk w wysokości </w:t>
      </w:r>
      <w:r w:rsidR="00236EFF">
        <w:t>1 361 891,10</w:t>
      </w:r>
      <w:r w:rsidR="003154F8">
        <w:t xml:space="preserve">. zł. </w:t>
      </w:r>
      <w:r w:rsidR="0070292B">
        <w:t>Wynik ten był</w:t>
      </w:r>
      <w:r w:rsidR="003154F8">
        <w:t xml:space="preserve"> </w:t>
      </w:r>
      <w:r w:rsidR="0070292B">
        <w:t>wyższy</w:t>
      </w:r>
      <w:r w:rsidR="003154F8">
        <w:t xml:space="preserve"> od osiągniętego w II</w:t>
      </w:r>
      <w:r w:rsidR="00236EFF">
        <w:t>I</w:t>
      </w:r>
      <w:r w:rsidR="003154F8">
        <w:t xml:space="preserve"> kwartale 2021 r.</w:t>
      </w:r>
      <w:r w:rsidR="00981A45">
        <w:t xml:space="preserve"> o</w:t>
      </w:r>
      <w:r w:rsidR="003154F8">
        <w:t xml:space="preserve"> </w:t>
      </w:r>
      <w:r w:rsidR="00236EFF">
        <w:t>630 826,75</w:t>
      </w:r>
      <w:r w:rsidR="003154F8">
        <w:t xml:space="preserve">. zł. </w:t>
      </w:r>
      <w:r w:rsidR="0070292B">
        <w:t>Efekt ten</w:t>
      </w:r>
      <w:r w:rsidR="003154F8">
        <w:t xml:space="preserve"> uzasadnia </w:t>
      </w:r>
      <w:r>
        <w:t>większa dostępność oferty Spółki wynikająca z odwołania z 16 maja 2022 r.</w:t>
      </w:r>
      <w:r w:rsidR="003154F8">
        <w:t xml:space="preserve"> s</w:t>
      </w:r>
      <w:r>
        <w:t>tanu epidemii. Mimo znacznego poziomu inflacji (17,2% w ujęciu rocznym) efektywnie wypracowany w okresie sprawozdawczym zysk w</w:t>
      </w:r>
      <w:r w:rsidR="009E6EBC">
        <w:t>ynosi</w:t>
      </w:r>
      <w:r>
        <w:t xml:space="preserve"> 505 083,68 zł.</w:t>
      </w:r>
    </w:p>
    <w:p w14:paraId="0429B560" w14:textId="6CAA9C62" w:rsidR="00452195" w:rsidRDefault="00452195" w:rsidP="003154F8">
      <w:pPr>
        <w:jc w:val="both"/>
      </w:pPr>
      <w:r>
        <w:tab/>
        <w:t>Warte zauważeni</w:t>
      </w:r>
      <w:r w:rsidR="004B17BE">
        <w:t>a</w:t>
      </w:r>
      <w:r>
        <w:t xml:space="preserve"> jest zwiększenie udziału zysków w wypracowanym przychodzie w stosunku do roku minionego (z 9,75% do 13,69%). Wskazuje to na poprawę efektywności zarządzania Spółką oraz wzrost marży ze sprzedaży oraz rentowności aktywów i kapitałów własnych. </w:t>
      </w:r>
    </w:p>
    <w:p w14:paraId="67A4E824" w14:textId="4A6112D8" w:rsidR="00452195" w:rsidRDefault="00452195" w:rsidP="003154F8">
      <w:pPr>
        <w:jc w:val="both"/>
      </w:pPr>
      <w:r>
        <w:tab/>
        <w:t xml:space="preserve">Skrócony został okres spłaty zobowiązań oraz </w:t>
      </w:r>
      <w:r w:rsidR="00901789">
        <w:t xml:space="preserve">uzyskany wysoki poziom wskaźników płynności finansowej. Dowodzi to wiarygodności Spółki w relacjach z kontrahentami,  a ponadto zgromadzenia środków na poziomie pozwalającym bezpiecznie prowadzić działalność w realiach prospektywnych wzrostów kosztów </w:t>
      </w:r>
      <w:r w:rsidR="004B17BE">
        <w:t>działalności.</w:t>
      </w:r>
      <w:r w:rsidR="00901789">
        <w:t xml:space="preserve"> </w:t>
      </w:r>
      <w:r w:rsidR="004B17BE">
        <w:t xml:space="preserve">Kapitał ten jest </w:t>
      </w:r>
      <w:r w:rsidR="00901789">
        <w:t xml:space="preserve"> nadto potencjał</w:t>
      </w:r>
      <w:r w:rsidR="004B17BE">
        <w:t>em</w:t>
      </w:r>
      <w:r w:rsidR="00901789">
        <w:t xml:space="preserve"> wyjściowy</w:t>
      </w:r>
      <w:r w:rsidR="004B17BE">
        <w:t>m</w:t>
      </w:r>
      <w:r w:rsidR="00901789">
        <w:t xml:space="preserve"> dla planowanych przez Spółkę inwestycji w infrastrukturę, mających uczynić jej ofertę całoroczn</w:t>
      </w:r>
      <w:r w:rsidR="004B17BE">
        <w:t>ą</w:t>
      </w:r>
      <w:r w:rsidR="00901789">
        <w:t>.</w:t>
      </w:r>
    </w:p>
    <w:p w14:paraId="6F28FFA5" w14:textId="203DC075" w:rsidR="00901789" w:rsidRDefault="00901789" w:rsidP="003154F8">
      <w:pPr>
        <w:jc w:val="both"/>
      </w:pPr>
      <w:r>
        <w:tab/>
        <w:t>W ogólnym ujęciu sytuacja finansowa Spółki uznana musi być za stabilną i pozwalającą prognozować bezpieczne przejście</w:t>
      </w:r>
      <w:r w:rsidR="004B17BE">
        <w:t xml:space="preserve"> jej</w:t>
      </w:r>
      <w:r>
        <w:t xml:space="preserve"> przedsiębiorstwa przed nadchodzący okres rosnących kosztów funkcjonowania</w:t>
      </w:r>
      <w:r w:rsidR="003B3D78">
        <w:t xml:space="preserve"> i niepewnej koniunktury.</w:t>
      </w:r>
    </w:p>
    <w:p w14:paraId="38A87AC7" w14:textId="327AF272" w:rsidR="00452195" w:rsidRDefault="00452195" w:rsidP="003154F8">
      <w:pPr>
        <w:jc w:val="both"/>
      </w:pPr>
    </w:p>
    <w:p w14:paraId="7DC740C6" w14:textId="36F13E5E" w:rsidR="003154F8" w:rsidRDefault="00194376" w:rsidP="003154F8">
      <w:pPr>
        <w:jc w:val="both"/>
      </w:pPr>
      <w:r>
        <w:t xml:space="preserve">5. </w:t>
      </w:r>
      <w:r w:rsidRPr="00194376">
        <w:rPr>
          <w:b/>
        </w:rPr>
        <w:t>Ocena pracy Zarządu oraz działania dyscyplinujące Zarząd Spółki podjęte przez Radę Nadzorczą</w:t>
      </w:r>
      <w:r>
        <w:t>:</w:t>
      </w:r>
    </w:p>
    <w:p w14:paraId="13D6B34E" w14:textId="7D5EB0AC" w:rsidR="00901789" w:rsidRDefault="00901789" w:rsidP="003154F8">
      <w:pPr>
        <w:jc w:val="both"/>
      </w:pPr>
      <w:r>
        <w:t xml:space="preserve">       </w:t>
      </w:r>
      <w:r w:rsidR="00194376">
        <w:t>Zarząd w okresie I</w:t>
      </w:r>
      <w:r w:rsidR="003B3D78">
        <w:t>I</w:t>
      </w:r>
      <w:r w:rsidR="00194376">
        <w:t xml:space="preserve">I kwartału 2022 r. realizował zadania w ramach założonego planu finansowego i elastycznie dostosowywał się do dynamicznie zmieniającej się w tym czasie sytuacji społeczno-gospodarczej. </w:t>
      </w:r>
      <w:r w:rsidR="003B3D78">
        <w:t xml:space="preserve">Podkreślić należy </w:t>
      </w:r>
      <w:r>
        <w:t xml:space="preserve">dostrzeganie przez Zarząd </w:t>
      </w:r>
      <w:r w:rsidR="003B3D78">
        <w:t xml:space="preserve">jej </w:t>
      </w:r>
      <w:r>
        <w:t xml:space="preserve">zmienności  i </w:t>
      </w:r>
      <w:r w:rsidR="00FB3C89">
        <w:t xml:space="preserve">uprzednie </w:t>
      </w:r>
      <w:r>
        <w:t xml:space="preserve">podejmowanie działań </w:t>
      </w:r>
      <w:r w:rsidR="003B3D78">
        <w:t>dostosowawczych</w:t>
      </w:r>
      <w:r>
        <w:t xml:space="preserve"> np. w zakresie rosnących cen energii. </w:t>
      </w:r>
    </w:p>
    <w:p w14:paraId="5FF2795C" w14:textId="1B4F3D60" w:rsidR="00194376" w:rsidRDefault="00901789" w:rsidP="003154F8">
      <w:pPr>
        <w:jc w:val="both"/>
      </w:pPr>
      <w:r>
        <w:t xml:space="preserve">         </w:t>
      </w:r>
      <w:r w:rsidR="00194376">
        <w:t xml:space="preserve">Rada Nadzorcza pozytywnie ocenia działania Zarządu Spółki w </w:t>
      </w:r>
      <w:r w:rsidR="00981A45">
        <w:t>II</w:t>
      </w:r>
      <w:r>
        <w:t>I</w:t>
      </w:r>
      <w:r w:rsidR="00981A45">
        <w:t xml:space="preserve"> kwartale 2022 r</w:t>
      </w:r>
      <w:r w:rsidR="00194376">
        <w:t>.</w:t>
      </w:r>
    </w:p>
    <w:p w14:paraId="78D3B6C8" w14:textId="099BB788" w:rsidR="00194376" w:rsidRDefault="00194376" w:rsidP="003154F8">
      <w:pPr>
        <w:jc w:val="both"/>
      </w:pPr>
      <w:r>
        <w:t xml:space="preserve">6. </w:t>
      </w:r>
      <w:r w:rsidRPr="00194376">
        <w:rPr>
          <w:b/>
        </w:rPr>
        <w:t>Realizacja  w okresie sprawozdawczym szczególnych zadań zleconych Radzie Nadzorczej</w:t>
      </w:r>
      <w:r>
        <w:rPr>
          <w:b/>
        </w:rPr>
        <w:t xml:space="preserve">: </w:t>
      </w:r>
      <w:r>
        <w:t>nie dotyczy</w:t>
      </w:r>
    </w:p>
    <w:p w14:paraId="651018D7" w14:textId="73F2E7BD" w:rsidR="00194376" w:rsidRDefault="00194376" w:rsidP="00194376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t>2</w:t>
      </w:r>
      <w:r w:rsidR="008B6790">
        <w:t>8</w:t>
      </w:r>
      <w:r>
        <w:t>.</w:t>
      </w:r>
      <w:r w:rsidR="008B6790">
        <w:t>10</w:t>
      </w:r>
      <w:r>
        <w:t>.2022 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Times New Roman" w:cs="Times New Roman"/>
          <w:sz w:val="24"/>
          <w:szCs w:val="24"/>
        </w:rPr>
        <w:t>Przewodniczący Rady Nadzorczej</w:t>
      </w:r>
    </w:p>
    <w:p w14:paraId="3595CD51" w14:textId="77777777" w:rsidR="00194376" w:rsidRPr="00980C4C" w:rsidRDefault="00194376" w:rsidP="00194376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42958F05" w14:textId="03345489" w:rsidR="009E6EBC" w:rsidRPr="00FB3C89" w:rsidRDefault="00194376" w:rsidP="00FB3C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Michał Polak</w:t>
      </w:r>
    </w:p>
    <w:sectPr w:rsidR="009E6EBC" w:rsidRPr="00FB3C89" w:rsidSect="00901789">
      <w:pgSz w:w="11906" w:h="16838"/>
      <w:pgMar w:top="363" w:right="1418" w:bottom="36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B6C47"/>
    <w:multiLevelType w:val="hybridMultilevel"/>
    <w:tmpl w:val="E0C6C17A"/>
    <w:lvl w:ilvl="0" w:tplc="B84E107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272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C95"/>
    <w:rsid w:val="00076671"/>
    <w:rsid w:val="000774F3"/>
    <w:rsid w:val="00194376"/>
    <w:rsid w:val="00236EFF"/>
    <w:rsid w:val="003154F8"/>
    <w:rsid w:val="00337A69"/>
    <w:rsid w:val="003B3D78"/>
    <w:rsid w:val="00450DA7"/>
    <w:rsid w:val="00452195"/>
    <w:rsid w:val="004B17BE"/>
    <w:rsid w:val="004B6B73"/>
    <w:rsid w:val="004C255C"/>
    <w:rsid w:val="0059585E"/>
    <w:rsid w:val="006A3C8B"/>
    <w:rsid w:val="0070292B"/>
    <w:rsid w:val="007936D1"/>
    <w:rsid w:val="008B4C95"/>
    <w:rsid w:val="008B6790"/>
    <w:rsid w:val="00901789"/>
    <w:rsid w:val="00981A45"/>
    <w:rsid w:val="009B0E17"/>
    <w:rsid w:val="009E6EBC"/>
    <w:rsid w:val="00A87E4A"/>
    <w:rsid w:val="00AA175E"/>
    <w:rsid w:val="00C40DEC"/>
    <w:rsid w:val="00D0160B"/>
    <w:rsid w:val="00D36EAB"/>
    <w:rsid w:val="00D64690"/>
    <w:rsid w:val="00ED0A4B"/>
    <w:rsid w:val="00FB3C89"/>
    <w:rsid w:val="00FC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028F"/>
  <w15:chartTrackingRefBased/>
  <w15:docId w15:val="{3BD4C864-E634-4DB0-B0BD-AD4E3148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C95"/>
    <w:pPr>
      <w:ind w:left="720"/>
      <w:contextualSpacing/>
    </w:pPr>
  </w:style>
  <w:style w:type="table" w:styleId="Tabela-Siatka">
    <w:name w:val="Table Grid"/>
    <w:basedOn w:val="Standardowy"/>
    <w:uiPriority w:val="39"/>
    <w:rsid w:val="008B4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B6B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B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B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B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B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9BC5C-247E-4986-9DCF-3F4736D9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980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Polak</dc:creator>
  <cp:keywords/>
  <dc:description/>
  <cp:lastModifiedBy>Michał Polak</cp:lastModifiedBy>
  <cp:revision>5</cp:revision>
  <dcterms:created xsi:type="dcterms:W3CDTF">2022-10-26T09:18:00Z</dcterms:created>
  <dcterms:modified xsi:type="dcterms:W3CDTF">2022-10-26T12:34:00Z</dcterms:modified>
</cp:coreProperties>
</file>